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(таблица в ред. </w:t>
      </w:r>
      <w:hyperlink r:id="rId4" w:history="1"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 xml:space="preserve">распоряжения Правительства ХМАО - </w:t>
        </w:r>
        <w:proofErr w:type="spellStart"/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>Югры</w:t>
        </w:r>
        <w:proofErr w:type="spellEnd"/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 xml:space="preserve"> от 30.03.2015 N 153-рп</w:t>
        </w:r>
      </w:hyperlink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)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br/>
      </w: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br/>
        <w:t>Раздел II. 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DB5A50" w:rsidRPr="00DB5A50" w:rsidRDefault="00DB5A50" w:rsidP="00DB5A5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t>1. Основные направления:</w:t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Обеспечение достижения российскими школьниками новых образовательных результатов: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введение федеральных государственных образовательных стандартов (далее - ФГОС);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организация системы мониторингов уровня подготовки и социализации школьников;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 xml:space="preserve">методическое сопровождение разработки (корректировки) основных образовательных 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lastRenderedPageBreak/>
        <w:t>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разработка (корректировка) требований к программам подготовки и переподготовки современных педагогических кадров в автономном округе, модернизация системы повышения квалификации педагогов в соответствии с требованиями ФГОС.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Обеспечение равного доступа к качественному образованию: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корректировка и реализация региональной системы оценки качества общего образования;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разработка и реализация комплекса мероприятий по поддержке школ, работающих в сложных социальных условиях;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 xml:space="preserve">разработка региональных комплексов мер, направленных на совершенствование профессиональной ориентации обучающихся в 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lastRenderedPageBreak/>
        <w:t>общеобразовательных организациях.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Введение эффективного контракта в общем образовании: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совершенствование (модернизация) действующих моделей аттестации педагогических работников организаций общего образования с последующим их переводом на эффективный контракт;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разработка, апробация и внедрение механизмов эффективного контракта с педагогическими работниками организаций общего образования;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разработка и внедрение механизмов эффективного контракта с руководителями образовательных организаций общего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организации общего образования;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lastRenderedPageBreak/>
        <w:t>информационное и мониторинговое сопровождение введения эффективного контракта.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t>2. Ожидаемые результаты:</w:t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Обеспечение достижения новых образовательных результатов: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 xml:space="preserve">обеспечение обучения школьников </w:t>
      </w:r>
      <w:proofErr w:type="gramStart"/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по</w:t>
      </w:r>
      <w:proofErr w:type="gramEnd"/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 xml:space="preserve"> </w:t>
      </w:r>
      <w:proofErr w:type="gramStart"/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новым</w:t>
      </w:r>
      <w:proofErr w:type="gramEnd"/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 xml:space="preserve"> ФГОС (в соответствии с планом действий по модернизации общего образования на 2011 - 2015 годы, утвержденным </w:t>
      </w:r>
      <w:hyperlink r:id="rId5" w:history="1"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>распоряжением Правительства Российской Федерации 07.09.2010 N 1507-р</w:t>
        </w:r>
      </w:hyperlink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);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повышение качества подготовки школьников.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Обеспечение равного доступа к качественному образованию: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 xml:space="preserve">введение оценки деятельности организаций общего образования на основе показателей 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lastRenderedPageBreak/>
        <w:t>эффективности их деятельности;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поддержка организаций общего образования, работающих в сложных социальных условиях.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Введение эффективного контракта в общем образовании: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обновление кадрового состава, развитие эффективных практик, привлечение молодых талантливых педагогов для работы в школе.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t>3. Основные количественные характеристики системы общего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77"/>
        <w:gridCol w:w="950"/>
        <w:gridCol w:w="904"/>
        <w:gridCol w:w="904"/>
        <w:gridCol w:w="904"/>
        <w:gridCol w:w="904"/>
        <w:gridCol w:w="904"/>
        <w:gridCol w:w="904"/>
        <w:gridCol w:w="904"/>
      </w:tblGrid>
      <w:tr w:rsidR="00DB5A50" w:rsidRPr="00DB5A50" w:rsidTr="00DB5A50">
        <w:trPr>
          <w:trHeight w:val="1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Ед.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изм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2012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2013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2015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2016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2017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2018</w:t>
            </w:r>
          </w:p>
        </w:tc>
      </w:tr>
      <w:tr w:rsidR="00DB5A50" w:rsidRPr="00DB5A50" w:rsidTr="00DB5A50"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Численность детей и молодежи 7 - 17 лет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тыс. чел.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205,913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209,278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214,163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218,833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226,569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227,041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234,715</w:t>
            </w:r>
          </w:p>
        </w:tc>
      </w:tr>
      <w:tr w:rsidR="00DB5A50" w:rsidRPr="00DB5A50" w:rsidTr="00DB5A50">
        <w:tc>
          <w:tcPr>
            <w:tcW w:w="12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(в ред. распоряжений Правительства ХМАО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hyperlink r:id="rId6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от 19.04.2017 N 220-рп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proofErr w:type="gramEnd"/>
          </w:p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7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от 12.10.2018 N 533-рп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Численность учащихся по программам общего образования в общеобразовательных организациях &lt;*&gt;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тыс. чел.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183,159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186,575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190,667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195,305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201,094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207,692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209,331</w:t>
            </w:r>
          </w:p>
        </w:tc>
      </w:tr>
      <w:tr w:rsidR="00DB5A50" w:rsidRPr="00DB5A50" w:rsidTr="00DB5A50">
        <w:tc>
          <w:tcPr>
            <w:tcW w:w="12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(в ред. распоряжений Правительства ХМАО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hyperlink r:id="rId8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от 19.04.2017 N 220-рп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proofErr w:type="gramEnd"/>
          </w:p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9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от 12.10.2018 N 533-рп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Численность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обучающихся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в расчете на 1 педагогического работника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человек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12,03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12,25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12,6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12,91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13,11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13,37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13,37</w:t>
            </w:r>
          </w:p>
        </w:tc>
      </w:tr>
      <w:tr w:rsidR="00DB5A50" w:rsidRPr="00DB5A50" w:rsidTr="00DB5A50">
        <w:tc>
          <w:tcPr>
            <w:tcW w:w="12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(в ред. распоряжений Правительства ХМАО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hyperlink r:id="rId10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от 19.04.2017 N 220-рп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proofErr w:type="gramEnd"/>
          </w:p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1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от 12.10.2018 N 533-рп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Удельный вес учащихся организаций общего образования, обучающихся в соответствии с новым федеральным государственным образовательным стандартом &lt;**&gt;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процент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26,3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36,5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49,5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59,1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62,0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72,4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81,6</w:t>
            </w:r>
          </w:p>
        </w:tc>
      </w:tr>
      <w:tr w:rsidR="00DB5A50" w:rsidRPr="00DB5A50" w:rsidTr="00DB5A50">
        <w:tc>
          <w:tcPr>
            <w:tcW w:w="12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(в ред. </w:t>
            </w:r>
            <w:hyperlink r:id="rId12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12.10.2018 N 533-рп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Удельный вес численнос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ти обучающихся общеобразовательных организаций, охваченных мероприятиями профессиональной ориентации, в общей их численности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процент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70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75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80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85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90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95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</w:t>
            </w:r>
          </w:p>
        </w:tc>
      </w:tr>
      <w:tr w:rsidR="00DB5A50" w:rsidRPr="00DB5A50" w:rsidTr="00DB5A50"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Доля педагогических работников общеобразовательных организаций, которым при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прохождении аттестации присвоена первая или высшая категория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процент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15,3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14,7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17,5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20,6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15</w:t>
            </w:r>
          </w:p>
        </w:tc>
      </w:tr>
      <w:tr w:rsidR="00DB5A50" w:rsidRPr="00DB5A50" w:rsidTr="00DB5A50"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Доля расходов на оплату труда работников административно-управленческого и вспомогательного персонала в фонде оплаты труда организации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процент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34,9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33,6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33,2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36,4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35,0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33,2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33,2</w:t>
            </w:r>
          </w:p>
        </w:tc>
      </w:tr>
    </w:tbl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________________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lastRenderedPageBreak/>
        <w:t>* В дневных и вечерних общеобразовательных организациях.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** К 2018 году обучаться по федеральным государственным образовательным стандартам будут все школьники 1 - 8 классов.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(таблица в ред. </w:t>
      </w:r>
      <w:hyperlink r:id="rId13" w:history="1"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 xml:space="preserve">распоряжения Правительства ХМАО - </w:t>
        </w:r>
        <w:proofErr w:type="spellStart"/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>Югры</w:t>
        </w:r>
        <w:proofErr w:type="spellEnd"/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 xml:space="preserve"> от 24.06.2016 N 326-рп</w:t>
        </w:r>
      </w:hyperlink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)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t>4. Мероприятия по повышению эффективности и качества услуг в сфере общего образования, соотнесенные с этапами перехода на эффективный контракт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5"/>
        <w:gridCol w:w="2728"/>
        <w:gridCol w:w="2328"/>
        <w:gridCol w:w="1335"/>
        <w:gridCol w:w="2379"/>
      </w:tblGrid>
      <w:tr w:rsidR="00DB5A50" w:rsidRPr="00DB5A50" w:rsidTr="00DB5A50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N </w:t>
            </w:r>
            <w:proofErr w:type="spellStart"/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</w:t>
            </w:r>
            <w:proofErr w:type="spellEnd"/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</w:t>
            </w:r>
            <w:proofErr w:type="spellEnd"/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Направления/мероприятия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Ответственные исполнители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Сроки реализации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Показатели</w:t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</w:t>
            </w:r>
          </w:p>
        </w:tc>
      </w:tr>
      <w:tr w:rsidR="00DB5A50" w:rsidRPr="00DB5A50" w:rsidTr="00DB5A50">
        <w:tc>
          <w:tcPr>
            <w:tcW w:w="92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Достижение новых качественных образовательных результатов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Комплекс мероприятий по внедрению федеральных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государственных образовательных стандартов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молодежной политики автономного округа, органы местного самоуправления муниципальных образований автономного округа (по согласованию), руководители общеобразовательных организаций (по согласованию), педагоги (по согласованию), руководители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государственных образовательных организаций, осуществляющих подготовку по педагогическим направлениям, реализующих программы повышения квалификации педагогов (по 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начального общего образования: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разработка и проведение оценки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качества начального общего образования в соответствии с Федеральными государственными образовательными стандартами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2014 - 2015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удельный вес численности обучающихся организаци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й общего образования, обучающихся по новым федеральным государственным образовательным стандартам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основного общего образования: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закупка учебников и учебно-методических комплектов;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развитие сети региональных инновационных и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стажировочных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площадок;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участие в апробации программы по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учебному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предмету "Музыка",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включающий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модули "Коллективное хоровое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музицирование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" и "Коллективное инструментальное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музицирование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" в рамках ФГОС ОО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Введение ФГОС среднего общего образования в опережающем режиме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2015 - 2018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Разработка региональных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комплексов мер, направленных на совершенствование профессиональной ориентации обучающихся в общеобразовательных организациях: реализация региональной Концепции развития системы профессиональной ориентации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образования и молодежной политики автономного округа, с участием руководителей общеобразовательных организаций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2014 - 2015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Удельный вес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численности обучающихся общеобразовательных организаций, охваченных мероприятиями профессиональной ориентации, в общей их численности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Разработка межведомственного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плана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реализации концепции развития системы профессиональной ориентации молодежи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я и молодежной политики автономного округа, Департамент труда и занятости автономного округа, Департамент здравоохранения автономного округа, органы местного самоуправления муниципальных образований автономного округа (по согласованию), руководители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организаций общего образования (по согласованию), автономное учреждение дополнительного профессионального образования "Институт развития образования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год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Удельный вес численност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и обучающихся общеобразовательных организаций, охваченных мероприятиями профессиональной ориентации, в общей их численности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3.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Реализация мероприятий, направленных на обеспечение доступности общего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образования в соответствии с федеральным государственным образовательным стандартом общего образования для всех категорий граждан: введение ФГОС среднего общего образования в опережающем режиме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автономног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 округа, органы местного самоуправления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удельный вес численности обучающихся в образовател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ьных организациях общего образования в соответствии с ФГОС в общей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численности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обучающихся в образовательных организациях общего образования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4.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Организация системы мониторинга уровня подготовки и социализации школьников: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образования и молодежной политики автономного округа, органы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местного самоуправления муниципальных образований автономного округа (по согласованию), руководители организаций общего образования (по согласованию), автономное учреждение дополнительного профессионального образования "Институт развития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образования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соотношение результатов ЕГЭ по русскому языку и математике в 10% школ с лучшими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результатами и в 10% школ с худшими результатами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Участие в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пилотной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апробации мониторинга, в том числе формирование центров мониторинга, проведение сбора и обработки первичных данных, подготовка предложений по оптимизации системы мониторинга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Департамент образования и молодежной политики автономного округа, органы местного самоуправления муниципальных образований автономного округа (по согласованию), руководители организаци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й общего образования (по согласованию), автономное учреждение дополнительного профессионального образования "Институт развития образования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год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аналитический отчет об участии в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пилотной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апробации мониторинга уровня подготовки и социализации школьников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Проведение и анализ данных мониторинга на постоянной основе, разработка 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принятие нормативных правовых актов в соответствии с результатами мониторинга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молодежной политики автономного округа,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органы местного самоуправления муниципальных образований автономного округа (по согласованию), руководители организаций общего образования (по согласованию), автономное учреждение дополнительного профессионального образования "Институт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развития образования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2015 - 2018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нормативный правовой акт в соответствии с результатами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мониторинга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5.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Осуществление мероприятий, направленных на оптимизацию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расходов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на оплату труда вспомогательного, административно-управленческого персонала. Дифференциация оплаты труда вспомогательного, административно-управленческ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ого персонала, исходя из предельной доли расходов на оплату их труда в общем фонде оплаты труда учреждения не более 40%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автономного округа, органы местного самоуправления с участием руководителей общеобразовательных организаций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соответствующем регионе удельный вес численности учителей общеобразо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вательных организаций в возрасте до 35 лет в общей численности учителей общеобразовательных организаций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Оптимизация структуры сети и штатной численности работников общеобразовательных организаций с учетом увеличения производительности труда и проводимых институциональных изменений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Численность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обучающихся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в расчете на 1 педагогического работника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Мониторинг уровня соотношения средней заработной платы руководителей, их заместителей, главных бухгалтеров государственных (муниципальных) общеобразовательных организаций и средней заработной платы работников данных организаций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Департамент образования и молодежной политики автономного округа, органы местного самоуправления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4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Приказ Департамента образования и молодежной политики автономного округа от 16.01.2014 N 1-нп "Об утверждении Примерного положения об оплате труда работников государственных образовательных организаций"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нормативные правовые акты органов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местного самоуправления, регламентирующие систему оплаты труда работников муниципальных образовательных организаций. Соотношение не превысит 4-кратного размера.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15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16.12.2016 N 693-рп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Обеспечение доступности качественного образования</w:t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Методическое сопровождение разработки и реализации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основных общеобразовательных программ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й политики автономного округа, руководители организаций общего образования (по согласованию), педагоги (по согласованию), автономное учреждение дополнительного профессионального образования "Институт развития образования Ханты-Мансийского автономног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2014 - 2015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соотношение результатов ЕГЭ по русскому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языку и математике в 10% школ с лучшими результатами и в 10% школ с худшими результатами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Подготовка методических рекомендаций по корректировке основных общеобразовательных программ с учетом данных международных сопоставительных исследований образовательных достижений школьников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образования и молодежной политики автономного округа, органы местного самоуправления муниципальных образований автономного округа (по согласованию), руководители организаций общего образования (по согласованию),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педагоги (по согласованию), автономное учреждение дополнительного профессионального образования "Институт развития образования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2014 - 2015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методические рекомендации по корректировке основных общеобразовательных программ с учетом данных международных сопоставительных исследований образовательных достижений школьников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Подготовка методических рекомендаций по разработке и реализации проектов основных общеобразова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тельных программ, программ развития образовательных организаций на базе региональных инновационных,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стажировочных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площадок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молодежной политики автономного округа, органы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местного самоуправления муниципальных образований автономного округа (по согласованию), руководители организаций общего образования (по 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2015 - 2017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методические рекомендации по разработке и реализации проектов основных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общеобразовательных программ, программ развития образовательных организаций на базе региональных инновационных,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стажировочных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площадок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Разработка и развитие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контента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информационного ресурса "Сетевое сообщество образования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" в части распростране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ния лучших практик на основе реализованных проектов развития общеобразовательных организаций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автономного округа, органы местного самоуправл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ения муниципальных образований автономного округа (по согласованию), руководители организаций общего образования (по 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2013 - 2018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Формирование региональной группы экспертов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7.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Подготовка и переподготовка современных педагогических кадров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Департамент образования и молодежной политики автономного округа, руководители общеобразовательных организаци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й (по согласованию), педагоги (по согласованию), руководители государственных образовательных организаций, осуществляющих подготовку по педагогическим направлениям, реализующих программы повышения квалификации педагогов (по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2013 - 2018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удельный вес численности обучающихся по модернизированным программам среднего профессионального и высшего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образования (по педагогическим специальностям), а также по модернизированным программам переподготовки и повышения квалификации педагогических работников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Разработка и реализация организационной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схемы персонифицированной модели повышения квалификации педагогических работников организаций общего образования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образования и молодежной политики автономного округа, автономное учреждение дополнительного профессионального образования "Институт развития образования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2013 - 2018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утвержденная организационная схема персонифицированной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модели повышения квалификации педагогических работников организаций общего образования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Организация и проведение проектных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семинаров, целевой курсовой подготовки для школьных команд по разработке проектов развития организации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я и молодежной политики автономного округа, органы местного самоуправления муниципальных образований автономного округа (по согласованию), руководители организаций общего образования (по согласованию), автономное учреждение дополнительного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профессионального образования "Институт развития образования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2015 - 2018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подготовка школьных команд по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разработке проектов развития организации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Разработка и реализация программ повышения квалификации учителей с целью обеспечения соответствия работников требованиям профессиональных стандартов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образования и молодежной политики автономного округа, руководители государственных образовательных организаций, осуществляющих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подготовку по педагогическим направлениям, реализующих программы повышения квалификации педагогов (по 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программы повышения квалификации учителей с целью обеспечения соответствия работников требованиям профессиональных стандартов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8.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Совершенствование системы оценки качества общего образования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Департамент образования и молодежной политики автономного округа, Служба по контролю и надзору в сфере образования автономног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 округа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2013 - 2014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удельный вес муниципальных образований, в которых оценка деятельности общеобразовательных организаций, их руководите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лей и основных категорий работников осуществляется на основании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показателей эффективности деятельности подведомственных муниципальных организаций общего образования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Разработка методических рекомендаций по регламентации использования инструментов текущего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оценивания индивидуальных образовательных результатов образования, использованию формирующей оценки в образовательной организации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автономного округа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год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методические рекомендации по регламентации использования инструментов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текущего оценивания индивидуальных образовательных результатов образования, использованию формирующей оценки в образовательной организации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9.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Мониторинг условий реализации образовательного процесса в соответствии с введением ФГОС основного общего образования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автономного округа совместно с органами местного самоуправл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ения муниципальных образований автономного округа в сфере образования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2015 - 2016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аналитический отчет по результатам мониторинга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Мониторинг и сравнительный анализ результатов ГИА образовательных организаций разных кластеров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Департамент образования и молодежной политики автономного округа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аналитический отчет результатов ГИА образовательных организаций разных кластеров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Мониторинг информационной открытости образовательных организаций посредством сайтов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образовательных организаций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автономного округа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аналитический отчет результатов мониторинга, предъявление результатов на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заседании регионального органа государственно-общественного управления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Формирование независимой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системы оценки качества работы общеобразовательных организаций автономного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округа, в том числе: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Апробация методики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рейтингования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общеобразовательных организаций автономного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округа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молодежной политики автономного округа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совместно с органами государственно-общественного совета, общественным Советом, созданным при Департаменте образования и молодежной политики автономного округа, независимые рейтинговые агентства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год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рейтинг общеобразовательных организаций автономного округа, представле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ние и обсуждение его результатов с органами государственно-общественного управления, общественными советами, родителями и иными заинтересованными организациями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Мониторинг сайтов общеобразовательных организаций автономного округа, в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части размещения обязательной информации о деятельности организации в информационно-коммуникационной сети Интернет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автономног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 округа совместно с органами государственно-общественного совета, общественным Советом, созданным при департаменте образования и молодежной политики автономного округа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размещение обязательной информации о деятельности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организации в 100% общеобразовательных организациях автономного округа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Формирование и обсуждение публичных докладов, используемых при оценке условий и результатов реализации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образовательных программ соответствующего уровня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молодежной политики автономного округа совместно с органами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местного самоуправления муниципальных образований автономного округа в сфере образования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публичные доклады о деятельности образовательных организаций и их размещение в открытом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доступе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10.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Поддержка школ, работающих в сложных социальных условиях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образования и молодежной политики автономного округа, органы местного самоуправления муниципальных образований автономного округа в сфере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образования (по 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соотношение результатов ЕГЭ по русскому языку и математике в 10% школ с лучшими результатами и в 10% школ с худшими результатами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Мониторинг и сравнительный анализ результатов ЕГЭ школ, работающих в сложных социальных условиях, с остальными школами округа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Департамент образования и молодежной политики автономного округа, органы местного самоуправления муниципальных образований автономного округа в сфере образования (по 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2013 - 2014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аналитический отчет результатов ЕГЭ школ, работающих в сложных социальных условиях, с остальными школами округа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Разработка и реализация в государственной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программе на период 2016 - 2020 годов комплекса мероприятий, направленных на поддержку школ, работающих в сложных социальных условиях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молодежной политики автономного округа, органы местного самоуправления муниципальных образований автономного округа в сфере образования (по 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IV квартал 2015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года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утвержденный комплекс мероприяти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й, направленных на поддержку школ, работающих в сложных социальных условиях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Введение эффективного контракта в общем образовании</w:t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11.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Совершенствование действующей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модели аттестации педагогических работников организаций общего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образования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с последующим их переводом на эффективный контракт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автономного округа, автономное учреждени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е дополнительного профессионального образования "Институт развития образования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год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нормативно-правовой акт, утверждающий модернизированную модель аттестации педагогичес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ких работников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Проведение аттестации педагогических работников организаций общего образования с последующим их переводом на эффективный контракт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образования и молодежной политики автономного округа, автономное учреждение дополнительного профессионального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образования "Институт развития образования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", муниципальные органы управления образованием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доля педагогических работников общеобразовательных организаций, которым при прохождении аттестации присвоена первая или высшая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категория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12.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Планирование дополнительных расходов с учетом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повышения оплаты труда педагогических работников общеобразовательных организаций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в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соответствии с </w:t>
            </w:r>
            <w:hyperlink r:id="rId16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Указом Президента Российской Федерации от 07.05.2012 N 597 "О мероприятиях по реализации государственной социальной политики"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автономного округа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2013 - 2018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закон о бюджете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13.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Разработка и внедрение механизмов эффективного контракта с руководителями образовательных организаций общего образования: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Департамент образования и молодежной политики автономного округа совместно с органами местного самоуправления муниципальных образовани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й автономного округа в сфере образования (по 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2013 - 2018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отношение среднемесячной заработной платы педагогических работников образовательных организаций общего образования к среднемесячной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заработной плате в субъекте Российской Федерации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Разработка (корректировка) показателей эффективности деятельности государственных (муниципальных) организаций общего образования, их руководителей и педагогических работников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Департамент образования и молодежной политики автономного округа совместно с органами местного самоуправления муниципальных образований автономного округа в сфере образования (по согласован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2013 - 2018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приказы Департамента образования и молодежной политики автономного округа от 20.03.2014 N 307 и от 02.07.2013 N 708, утверждающие показатели эффективности деятельности организаций общего образовани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я, их руководителей и педагогических работников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Разработка методических рекомендаций по стимулированию руководителей муниципальных общеобразовательных организаций, направленных на установление взаимосвязи между показателями качества предоставляемых муниципальных услуг 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эффективностью деятельности руководителей образовательных организаций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автономного округа совместно с органами местного самоуправления муниципальных образований автономного округа в сфере образования (по 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2013 - 2014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методические рекомендации по стимулированию руководителей муниципальных общеобразовательных организаций, направленных на установление взаимосвязи между показателями качества предоставляемых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муниципальных услуг и эффективностью деятельности руководителей образовательных организаций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Реализация моделей эффективного контракта в общем образовании в штатном режиме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образования и молодежной политики автономного округа совместно с органами местного самоуправления муниципальных образований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автономного округа в сфере образования (по 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100% реализация моделей эффективного контракта в общем образовании в штатном режиме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Проведение работы по заключению договоров с руководителями государственных (муниципальных) общеобразовательных организаций в соответствии с утвержденной региональными нормативными актами типовой формой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договора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автономного округа, органы местного самоуправления муниципальных образований автономного округа в сфере образования (по 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2013 - 2018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100% заключение договоров с руководителями государственных (муниципальных) общеобразовательных организаций в соответствии с утвержденной региональными нормативными актами типовой формой договора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Организация и проведение мониторинга выполнения мер по созданию прозрачного механизма оплаты труда руководителей государственных и муниципальных образовательных организаций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Департамент образования и молодежной политики автономного округа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аналитический отчет и предъявление результатов на заседание регионального органа государственно-общественного управления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Осуществление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контроля за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предоставлением руководителями государственных (муниципаль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ных) образовательных организаций сведений о доходах и имуществе и размещение их в сети Интернет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молодежной политики автономного округа, органы местного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самоуправления муниципальных образований автономного округа в сфере образования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100% предоставление сведений о доходах и их размещение в сети Интернет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Мониторинг влияния внедрения эффективного контракта на качество услуг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образования и молодежной политики автономного округа совместно с органами местного самоуправления муниципальных образований автономного округа в сфере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образования (по 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2013 - 2018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аналитический отчет влияния внедрения эффективного контракта на качество услуг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14.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Информационное и мониторинговое сопровождение введения эффективного контракта: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образования и молодежной политики автономного округа, Департамент общественных связей автономного округа, органы местного самоуправления муниципальных образований автономного округа в сфере образования (по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2013 - 2018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информационное сопровождение введения эффективного контракта, мониторинг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Организация информационного сопровождения мероприятий по введению эффективного контракта в общеобразовательных организациях (проведение разъяснительной работы в трудовых коллективах, совещаний (семинаров) с участием профсоюзных организаций, общественных объединений, публикации в средствах массовой информации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и другие мероприятия)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автономного округа, Департамент общественных связей автономного округа, органы местного самоуправления муниципальных образований автономного округа в сфере образования (по согласованию)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2013 - 2018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план информационного сопровождения мероприятий по введению эффективного контракта в общеобразовательных организациях (проведение разъяснительной работы в трудовых коллективах, публикации в средствах массовой информации, проведение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семинаров и другие мероприятия)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Организация и проведение общественных слушаний "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Портфолио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достижений системы общего образования (в рамках реализации "дорожной карты" Изменения в отраслях социальной сферы, направленные на повышение эффективности образования и науки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Ханты-Мансийском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автономном округе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Югре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автономного округа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2014 - 2018 годы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информирование широкой общественности о реализации мероприятий "дорожной карты"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</w:tbl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(таблица в ред. </w:t>
      </w:r>
      <w:hyperlink r:id="rId17" w:history="1"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 xml:space="preserve">распоряжения Правительства ХМАО - </w:t>
        </w:r>
        <w:proofErr w:type="spellStart"/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>Югры</w:t>
        </w:r>
        <w:proofErr w:type="spellEnd"/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 xml:space="preserve"> от 24.06.2016 N 326-р</w:t>
        </w:r>
      </w:hyperlink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п)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t>4. Мероприятия по повышению эффективности и качества в сфере защиты детей-сирот и детей, оставшихся без попечения родителей, соотнесенные с этапами перехода к эффективному контракту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4"/>
        <w:gridCol w:w="2986"/>
        <w:gridCol w:w="2198"/>
        <w:gridCol w:w="1442"/>
        <w:gridCol w:w="2255"/>
      </w:tblGrid>
      <w:tr w:rsidR="00DB5A50" w:rsidRPr="00DB5A50" w:rsidTr="00DB5A50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Направления/мероприятия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Ответственные исполнители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Сроки реализации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Показатели</w:t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Повышение качества и эффективности предоставляемых услуг</w:t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</w:t>
            </w: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Организация коррекционно-реабилитационной работы с родителями, ограниченными в родительских правах,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лишенными родительских прав, для обеспечения возможности формирования либо восстановления позитивных отношений между родителями и детьми, восстановления родителей в родительских правах и возвращения им детей, в организациях для детей-сирот и детей, оставшихся без попечения родителей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социального развития Ханты-Мансийского автономно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Департамент образования и молодежной политики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Департамент здравоохранения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органы местного самоуправления муниципальных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образований автономного округа (по согласованию)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увеличение численности детей-сирот и детей, оставшихся без попечения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родителей, находящихся в организациях, возвращенных родителям, восстановленным в родительских правах, или родителям, в отношении которых отменено ограничение в родительских правах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18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Организация работы по ведению единого банка данных семей и детей, проживающих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Ханты-Мансийском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автономном округе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Югре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находящихся в социально опасном положении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социального развития автономного округа, подведомственные ему учреждения социального обслуживания (по согласованию), Департамент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образования и молодежной политики автономного округа, Департамент здравоохранения автономного округа, Управление Министерства внутренних дел России по автономному округу (по согласованию), органы местного самоуправления муниципальных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образований автономного округа (по согласованию)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сокращение количества ежегодно выявляемых детей, оставшихся без попечения родителей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19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Мониторинг прогнозных данных по выявлению и семейному устройству детей-сирот и детей, оставшихся без попечения родителей, в том числе возвращенных родителям, восстановленным в родительских правах, или родителям, в отношении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которых отменено ограничение в родительских правах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органы местного самоуправления муниципальных образований автономно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го округа (по согласованию)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сокращение количества ежегодно выявляемых детей, оставшихся без попечения родителей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20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Внедрение в деятельность организаций для детей-сирот и детей, оставшихся без попечения родителей, технологии индивидуальной работы с воспитанниками, направленной на поддержание связей с родственниками, и их родителями, лишенными родительских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прав или ограниченными в родительских правах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органы местного самоуправления муниципальных образований автономного округа (по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согласованию), Департамент здравоохранения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увеличение доли детей, возвращенных родителям, восстановленным в родительских правах, или родителям, в отношении которых отменено ограничение в родительских правах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21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Научно-методическое сопровождение коррекционной работы с семьями, находящимися в социально опасном положении, в том числе с родителями, ограниченными в родительских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правах, лишенными родительских прав.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бюджетное учреждение Ханты-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"Методический центр развития социального обслуживания" (по согласованию)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методические рекомендации по сопровождению деятельности, направленной на коррекционную работу с семьями, находящим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ися в социально опасном положении, в том числе с родителями, ограниченными в родительских правах, лишенными родительских прав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22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2.</w:t>
            </w: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Реформирование организаций для детей-сирот в целях создания для детей, которых не удается устроить в семью, организаций с малой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наполняемостью и близкими к семейным условиями проживания и воспитания, а также использования ресурсов этих организаций в деятельности по семейному устройству и социальной адаптации детей-сирот и детей, оставшихся без попечения родителей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proofErr w:type="gramEnd"/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здравоохранения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2014 - 2015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сокращение численности организаций для детей-сирот и детей, оставшихся без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попечения родителей, в связи с семейным устройством, возвращением родителям, восстановленным в родительских правах или родителям, в отношении которых отменено ограничение в родительских правах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23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Оценка эффективности деятельности руководителей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организаций для детей-сирот и детей, оставшихся без попечения родителей, исходя из показателей деятельности по организации работы по временной передаче детей-сирот в семьи граждан, семейному устройству воспитанников организаций, возврату воспитанников родителям, восстановленным в родительских правах, или родителям, в отношении которых отменено ограничение в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родительских правах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социального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Департамент здравоохранения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2014 - 2016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увеличение доли воспитанников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организаций для детей-сирот и детей, оставшихся без попечения родителей, переданных на семейные формы устройства, возвращенных родителям, восстановленным в родительских правах, или родителям, в отношении которых отменено ограничение в родительск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их правах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24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Анализ структуры и штатной численности организаций для детей-сирот и детей, оставшихся без попечения родителей, подведомственных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Депсоцразвития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IV квартал 2014 года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аналитическая записка о плане мероприятий по оптимизации структуры и штатной численности организаций для детей-сирот и детей, оставшихся без попечения родителей, подведомственных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Депсоцразвития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Оптимизация структуры и штатной численности работников организаций для детей-сирот и детей, оставшихся без попечения родителей, подведомственных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Депсоцразвития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2015 - 2018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приведение в соответствие штатной численности организаций для детей-сирот и детей, оставшихся без попечения родителей, подведомственных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Депсоцразвития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с фактической численностью воспитанников указанных организаций;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внесение изменений в уставы организаций для детей-сирот и детей, оставшихся без попечения родителей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Мониторинг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достижения целевых показателей повышения оплаты труда работников организаций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для детей-сирот и детей, оставшихся без попечения родителей, подведомственных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Депсоцразвития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(в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соответствии с </w:t>
            </w:r>
            <w:hyperlink r:id="rId25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Указом Президента Российской Федерации от 28 декабря 2012 года N 1688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IV квартал 2014 года и далее ежегодно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информационно-аналитическая записка с предложениями для прогнозных расчетов в Министерство труда и социальной защиты Российской Федерации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Установление предельной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доли оплаты труда работников административно-управленческого персонала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в фонде оплаты труда организаций для детей-сирот и детей, оставшихся без попечения родителей, подведомственных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Депсоцразвития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не более 40%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2014 - 2018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предельная доля оплаты труда работников административно-управленческого персонала в фонде оплаты труда организаций для детей-сирот и детей, оставшихся без попечения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родителей, подведомственных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Депсоцразвития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не более 40%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Организация подготовки лиц, желающих принять на воспитание в свою семью детей-сирот и детей, оставшихся без попечения родителей, с использованием ресурсов организаций для детей-сирот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подведомственные ему учреждения социального обслуживания (по согласованию), органы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местного самоуправления городских округов и муниципальных районов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доля детей, воспитывающихся в семьях граждан (в семьях усыновителей, опекунов, попечителей, приемных родителей), в общей численности детей-сирот и детей, оставшихся без попечения родителей, проживаю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щих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Ханты-Мансийском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автономном округе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Югре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26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</w:t>
            </w: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Разработка и реализация региональной программы социальной адаптации выпускников организаций для детей-сирот, в возрасте от 18 до 23 лет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2014 - 2018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доля выпускников организаций для детей-сирот, заключивших договоры о предоставлении социальны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х услуг, от общего числа выпускников указанных организаций, состоящих на учете в органах опеки и попечительства автономного округа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27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Реализация </w:t>
            </w:r>
            <w:hyperlink r:id="rId28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постановления Правительства Ханты-Мансийского автономного округа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31 июля 2009 N 198-п "Об организации </w:t>
              </w:r>
              <w:proofErr w:type="gram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в</w:t>
              </w:r>
              <w:proofErr w:type="gram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</w:t>
              </w:r>
              <w:proofErr w:type="gram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lastRenderedPageBreak/>
                <w:t>Ханты-Мансийском</w:t>
              </w:r>
              <w:proofErr w:type="gram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автономном округе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Югре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сопровождения и временного проживания выпускников организаций для детей-сирот и детей, оставшихся без попечения родителей, в возрасте от 18 до 23 лет"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органы местного самоуправления городских округов и муниципальных районов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организация сопровождения выпускников организаций для детей-сирот и детей,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оставшихся без попечения родителей, на основании договоров о предоставлении социальных услуг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29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Мониторинг социальной адаптации выпускников организаций для детей-сирот и детей, оставшихся без попечения родителей, в возрасте от 18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до 23 лет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аналитическая записка о плане мероприятий по эффективности деятельности по выпускник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ов организаций для детей-сирот и детей, оставшихся без попечения родителей, доля выпускников организаций, получающих профессиональное образование, трудоустроенных, создавших семьи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30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Анализ качества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кадрового обеспечения организаций для детей-сирот и детей, оставшихся без попечения родителей, в том числе динамика заполнения вакантных должностей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Департамент здравоохранения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III кварта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л 2014 года и далее ежегодно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рекомендации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организациям для детей-сирот и детей, оставшихся без попечения родителей, по улучшению кадрового обеспечения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</w:t>
            </w:r>
            <w:hyperlink r:id="rId31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 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</w:t>
            </w: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Повышение квалификации кадрового состава организаций для детей-сирот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социального развития Ханты-Мансийского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Департамент здравоохранения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численность специалистов организаций для детей-сирот,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прошедших переподготовку, повышение квалификации по дополнительным профессиональным программам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32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Организация системной подготовки и повышения квалификации специалистов организаций для детей-сирот и детей, оставшихся без попечения родителей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социального развития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Департамент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здравоохранения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бюджетное учреждение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"Методический центр развития социального обслуживания" (по согласованию)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2014 - 2018 годы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удельный вес специалистов, организаций для детей-сирот и детей, оставшихся без попечения родителей,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прошедших курсы повышения квалификации, обучающие семинары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  <w:tr w:rsidR="00DB5A50" w:rsidRPr="00DB5A50" w:rsidTr="00DB5A50">
        <w:tc>
          <w:tcPr>
            <w:tcW w:w="12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(в ред. </w:t>
            </w:r>
            <w:hyperlink r:id="rId33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24.06.2016 N 326-рп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</w:tbl>
    <w:p w:rsidR="00DB5A50" w:rsidRPr="00DB5A50" w:rsidRDefault="00DB5A50" w:rsidP="00DB5A5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lastRenderedPageBreak/>
        <w:br/>
      </w:r>
    </w:p>
    <w:p w:rsidR="00DB5A50" w:rsidRPr="00DB5A50" w:rsidRDefault="00DB5A50" w:rsidP="00DB5A5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t>5. Показатели повышения эффективности и качества услуг в сфере защиты детей-сирот и детей, оставшихся без попечения родителей, соотнесенные с этапами перехода к эффективному контракту</w:t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(в ред. </w:t>
      </w:r>
      <w:hyperlink r:id="rId34" w:history="1"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 xml:space="preserve">распоряжения Правительства ХМАО - </w:t>
        </w:r>
        <w:proofErr w:type="spellStart"/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>Югры</w:t>
        </w:r>
        <w:proofErr w:type="spellEnd"/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 xml:space="preserve"> от 18.07.2014 N 403-рп</w:t>
        </w:r>
      </w:hyperlink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9"/>
        <w:gridCol w:w="1729"/>
        <w:gridCol w:w="1093"/>
        <w:gridCol w:w="697"/>
        <w:gridCol w:w="697"/>
        <w:gridCol w:w="786"/>
        <w:gridCol w:w="786"/>
        <w:gridCol w:w="697"/>
        <w:gridCol w:w="697"/>
        <w:gridCol w:w="1634"/>
      </w:tblGrid>
      <w:tr w:rsidR="00DB5A50" w:rsidRPr="00DB5A50" w:rsidTr="00DB5A50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N </w:t>
            </w:r>
            <w:proofErr w:type="spellStart"/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</w:t>
            </w:r>
            <w:proofErr w:type="spellEnd"/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Показатель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Единица измерения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2013 год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год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2015 год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2016 год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2017 год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2018 год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Результат</w:t>
            </w: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Доведение к 2018 году заработной платы педагогических работников организаций для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детей-сирот до 100% к среднемесячной начисленной заработной плате наемных работников в организациях, у индивидуальных предпринимателей и физических лиц (среднемесячного дохода от трудово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й деятельности) в автономном округе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%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102,0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104,3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126,92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106,05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100,0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100,0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средняя заработная плата педагогических работников организаций для детей-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сирот будет соответствовать среднемесячному доходу от трудовой деятельности в автономном округе. Качественное предоставление услуг в сфере защиты прав детей-сирот и детей, оставшихся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без попечения родителей, в организациях для детей-сирот</w:t>
            </w:r>
          </w:p>
        </w:tc>
      </w:tr>
      <w:tr w:rsidR="00DB5A50" w:rsidRPr="00DB5A50" w:rsidTr="00DB5A50">
        <w:tc>
          <w:tcPr>
            <w:tcW w:w="1256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(п. 1 в ред. </w:t>
            </w:r>
            <w:hyperlink r:id="rId35" w:history="1"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распоряжения Правительства ХМАО - </w:t>
              </w:r>
              <w:proofErr w:type="spellStart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>Югры</w:t>
              </w:r>
              <w:proofErr w:type="spellEnd"/>
              <w:r w:rsidRPr="00DB5A50">
                <w:rPr>
                  <w:rFonts w:ascii="Times New Roman" w:eastAsia="Times New Roman" w:hAnsi="Times New Roman" w:cs="Times New Roman"/>
                  <w:color w:val="3451A0"/>
                  <w:sz w:val="40"/>
                  <w:u w:val="single"/>
                  <w:lang w:eastAsia="ru-RU"/>
                </w:rPr>
                <w:t xml:space="preserve"> от 19.04.2017 N 220-рп</w:t>
              </w:r>
            </w:hyperlink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</w:tr>
    </w:tbl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(таблица в ред. </w:t>
      </w:r>
      <w:hyperlink r:id="rId36" w:history="1"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 xml:space="preserve">распоряжения Правительства ХМАО - </w:t>
        </w:r>
        <w:proofErr w:type="spellStart"/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>Югры</w:t>
        </w:r>
        <w:proofErr w:type="spellEnd"/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 xml:space="preserve"> от 16.12.2016 N 693-рп</w:t>
        </w:r>
      </w:hyperlink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)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br/>
      </w: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br/>
        <w:t>Раздел VIII. ИЗМЕНЕНИЯ В СФЕРЕ СРЕДНЕГО ПРОФЕССИОНАЛЬНОГО ОБРАЗОВАНИЯ, НАПРАВЛЕННЫЕ НА ОБЕСПЕЧЕНИЕ ДОСТУПНОСТИ СРЕДНЕГО ПРОФЕССИОНАЛЬНОГО ОБРАЗОВАНИЯ ДЛЯ ИНВАЛИДОВ И ЛИЦ С ОГРАНИЧЕННЫМИ ВОЗМОЖНОСТЯМИ ЗДОРОВЬЯ</w:t>
      </w:r>
    </w:p>
    <w:p w:rsidR="00DB5A50" w:rsidRPr="00DB5A50" w:rsidRDefault="00DB5A50" w:rsidP="00DB5A5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(</w:t>
      </w:r>
      <w:proofErr w:type="gramStart"/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введен</w:t>
      </w:r>
      <w:proofErr w:type="gramEnd"/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 </w:t>
      </w:r>
      <w:hyperlink r:id="rId37" w:history="1"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 xml:space="preserve">распоряжением Правительства ХМАО - </w:t>
        </w:r>
        <w:proofErr w:type="spellStart"/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>Югры</w:t>
        </w:r>
        <w:proofErr w:type="spellEnd"/>
        <w:r w:rsidRPr="00DB5A50">
          <w:rPr>
            <w:rFonts w:ascii="Arial" w:eastAsia="Times New Roman" w:hAnsi="Arial" w:cs="Arial"/>
            <w:color w:val="3451A0"/>
            <w:sz w:val="40"/>
            <w:u w:val="single"/>
            <w:lang w:eastAsia="ru-RU"/>
          </w:rPr>
          <w:t xml:space="preserve"> от 12.10.2018 N 533-рп</w:t>
        </w:r>
      </w:hyperlink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)</w:t>
      </w:r>
    </w:p>
    <w:p w:rsidR="00DB5A50" w:rsidRPr="00DB5A50" w:rsidRDefault="00DB5A50" w:rsidP="00DB5A5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lastRenderedPageBreak/>
        <w:t>1. Основные направления</w:t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Реализация мероприятий, направленных на обеспечение доступности среднего профессионального образования для инвалидов и лиц с ограниченными возможностями здоровья, включают в себя: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привлечение абитуриентов из числа инвалидов и лиц с ограниченными возможностями здоровья в систему среднего профессионального образования;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мероприятия по обеспечению предоставления образовательных услуг для инвалидов и лиц с ограниченными возможностями здоровья, направленные на развитие инклюзивного среднего профессионального образования;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мероприятия по содействию трудоустройству выпускников из числа инвалидов и лиц с ограниченными возможностями здоровья, получивших среднее профессиональное образование.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lastRenderedPageBreak/>
        <w:t>2. Ожидаемые результаты</w:t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Реализация мероприятий по обеспечению равного доступа к образованию для всех обучающихся с учетом разнообразия особых образовательных потребностей и индивидуальных возможностей в системе среднего профессионального образования инвалидов и лиц с ограниченными возможностями здоровья предусматривает: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совершенствование условий для получения среднего профессионального образования инвалидами и лицами с ограниченными возможностями здоровья;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повышение информационной открытости профессиональных образовательных организаций по вопросам приема и условий обучения инвалидов и лиц с ограниченными возможностями здоровья;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увеличение количества вовлеченных инвалидов и лиц с ограниченными возможностями здоровья в систему среднего профессионального образования;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lastRenderedPageBreak/>
        <w:t>создание условий для реализации образовательных программ среднего профессионального образования для инвалидов и лиц с ограниченными возможностями здоровья независимо от места их проживания, в том числе с использованием электронного обучения, дистанционных образовательных технологий;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создание и развитие в субъектах Российской Федерации инфраструктуры, обеспечивающей доступность и качество среднего профессионального образования инвалидов и лиц с ограниченными возможностями здоровья;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развитие кадрового потенциала профессиональных образовательных организаций;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социальная адаптация и профессиональная реабилитация инвалидов и лиц с ограниченными возможностями здоровья в сфере среднего профессионального образования.</w:t>
      </w:r>
      <w:r w:rsidRPr="00DB5A50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t>3. Основные количественные характеристики системы инклюзивного среднего профессионального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60"/>
        <w:gridCol w:w="1547"/>
        <w:gridCol w:w="858"/>
        <w:gridCol w:w="858"/>
        <w:gridCol w:w="858"/>
        <w:gridCol w:w="858"/>
        <w:gridCol w:w="858"/>
        <w:gridCol w:w="858"/>
      </w:tblGrid>
      <w:tr w:rsidR="00DB5A50" w:rsidRPr="00DB5A50" w:rsidTr="00DB5A50">
        <w:trPr>
          <w:trHeight w:val="15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5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Ед.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изм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2013 год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год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2015 год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2016 год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2017 год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2018 год</w:t>
            </w:r>
          </w:p>
        </w:tc>
      </w:tr>
      <w:tr w:rsidR="00DB5A50" w:rsidRPr="00DB5A50" w:rsidTr="00DB5A50">
        <w:tc>
          <w:tcPr>
            <w:tcW w:w="5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Численность инвалидов и лиц с ограниченными возможностями здоровья, обучающихся по образовательным программам среднего профессионального образования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человек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139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127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149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132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178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185</w:t>
            </w:r>
          </w:p>
        </w:tc>
      </w:tr>
      <w:tr w:rsidR="00DB5A50" w:rsidRPr="00DB5A50" w:rsidTr="00DB5A50">
        <w:tc>
          <w:tcPr>
            <w:tcW w:w="5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Удельный вес профессиональных образовательных организаций, введенных в эксплуатацию с 1 июля 2016 года, в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которых предоставляются услуги, полностью соответствующие требованиям доступности для инвалидов</w:t>
            </w:r>
            <w:proofErr w:type="gramEnd"/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процентов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</w:t>
            </w:r>
          </w:p>
        </w:tc>
      </w:tr>
    </w:tbl>
    <w:p w:rsidR="00DB5A50" w:rsidRPr="00DB5A50" w:rsidRDefault="00DB5A50" w:rsidP="00DB5A5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lastRenderedPageBreak/>
        <w:t>4. Мероприятия по повышению доступности среднего профессионального образования инвалидов и лиц с ограниченными возможностями здоровья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6"/>
        <w:gridCol w:w="2908"/>
        <w:gridCol w:w="2202"/>
        <w:gridCol w:w="1412"/>
        <w:gridCol w:w="2227"/>
      </w:tblGrid>
      <w:tr w:rsidR="00DB5A50" w:rsidRPr="00DB5A50" w:rsidTr="00DB5A50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N </w:t>
            </w:r>
            <w:proofErr w:type="spellStart"/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</w:t>
            </w:r>
            <w:proofErr w:type="spellEnd"/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</w:t>
            </w:r>
            <w:proofErr w:type="spellEnd"/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Направления/мероприятия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Ответственные исполнители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Сроки реализации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Показатели</w:t>
            </w:r>
          </w:p>
        </w:tc>
      </w:tr>
      <w:tr w:rsidR="00DB5A50" w:rsidRPr="00DB5A50" w:rsidTr="00DB5A50">
        <w:tc>
          <w:tcPr>
            <w:tcW w:w="134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Привлечение абитуриентов из числа инвалидов и лиц с ограниченными возможностями здоровья в систему среднего профессионального образования</w:t>
            </w: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Организация работы "горячей линии" по вопросам приема в профессиональные образовательн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ые организации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Ханты-Мансийск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до 31 декабря 2018 года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численность абитуриентов из числа инвалидов и лиц с ограниченными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возможностями здоровья, принятых на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обучение по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образовательным программам среднего профессионального образования</w:t>
            </w: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Проведение семинаров (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вебинаров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для педагогических работников и родителей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обучающихся-инвалидов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(законных представителей ребенка) по вопросам профориентации и получения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услуг среднего профессионального образования и профессионального обучения для обучающихся инвалидов и обучающихся с ограниченными возможностями здоровья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молодежной политики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 31 декабря 2018 года</w:t>
            </w:r>
          </w:p>
        </w:tc>
        <w:tc>
          <w:tcPr>
            <w:tcW w:w="35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3.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Совершенствование межведомственного взаимодействия специалистов органов медико-социальной экспертизы,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психолого-медико-педагогических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комиссий, образовательн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ых организаций по подготовке рекомендаций по профессиональной реабилитации инвалидов и лиц с ограниченными возможностями здоровья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молодежной политики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 31 декабря 2018 года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численность инвалидов и лиц с ограниченными возможностями здоровья, завершивших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обучение по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образовательным программа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 среднего профессионального образования</w:t>
            </w: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4.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Размещение на официальных сайтах профессиональных образовательных организаций информации об условиях обучения инвалидов и лиц с ограниченными возможностями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образования и молодежной политики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профессиональные образовательные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организации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    (по согласованию)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до 31 декабря 2018 года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численность абитуриентов из числа инвалидов и лиц с ограниченными возможностями здоровья, принятых на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обучение по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образовате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льным программам среднего профессионального образования</w:t>
            </w:r>
          </w:p>
        </w:tc>
      </w:tr>
      <w:tr w:rsidR="00DB5A50" w:rsidRPr="00DB5A50" w:rsidTr="00DB5A50">
        <w:tc>
          <w:tcPr>
            <w:tcW w:w="134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Обеспечение предоставления образовательных услуг среднего профессионального образования для инвалидов и лиц с ограниченными возможностями здоровья, направленное на развитие инклюзивного среднего профессионального образования</w:t>
            </w: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Разработка и реализация адаптированных образовательных программ среднего профессионального образования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Профессиональные образовательные организации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    (по согласованию)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 31 декабря 2018 года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удельный вес инвалидов и лиц с ограниченными возможностями здоровья, обучающихся по адаптированным образовательным программа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 среднего профессионального образования в профессиональных образовательных организациях, от общего числа обучающихся по образовательным программам среднего профессионального образования</w:t>
            </w: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6.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Формирование локальной нормативной базы профессиональных образовательных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организаций в части обеспечения условий доступности для инвалидов и лиц с ограниченными возможностями здоровья объектов (административных зданий, строений, сооружений и помещений) и предоставления услуг в сфере среднего профессионального образования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Ханты-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профессиональные образовательные организации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    (по согласованию)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до 31 декабря 2018 года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удельный вес профессиональных образовательных организаций, в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которых обучаются инвалиды по образовательным программам среднего профессионального образования, в общей численности профессиональных образовательных организаций</w:t>
            </w: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7.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Создание условий для получения среднего профессионального образования инвалидами 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лицами с ограниченными возможностями здоровья, в том числе с использованием дистанционных образовательных технологий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Ханты-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профессиональные образовательные организации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    (по согласованию)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до 31 декабря 2018 года</w:t>
            </w:r>
          </w:p>
        </w:tc>
        <w:tc>
          <w:tcPr>
            <w:tcW w:w="35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8.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Создание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Ханты-Мансийском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автономном округе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Югре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базовой профессиональной образовательной организации, обеспечивающ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ей поддержку региональных систем инклюзивного среднего профессионального образования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молодежной политики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Югры</w:t>
            </w:r>
            <w:proofErr w:type="spellEnd"/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до 31 декабря 2018 года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удельный вес профессиональных образовательных организаций, в которых обучаются инвалиды по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образовательным программам среднего профессионального образования, в общей численности профессиональных образовательных организаций</w:t>
            </w: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9.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Внедрение в деятельность профессиональных образовательных организаций требований к оказанию образовательных услуг по получению среднего профессиональ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ного образования инвалидами и лицами с ограниченными возможностями здоровья с учетом различных нозологических групп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молодежной политики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 31 декабря 2018 года</w:t>
            </w:r>
          </w:p>
        </w:tc>
        <w:tc>
          <w:tcPr>
            <w:tcW w:w="35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10.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Организация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работников, включая специалистов, осуществляющ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их сопровождение образовательного процесса инвалидов и лиц с ограниченными возможностями здоровья, по вопросам инклюзивного среднего профессионального образования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молодежной политики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 31 декабря 2018 года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доля инвалидов и лиц с ограниченными возможностями здоровья, завершивших освоение образовательных программ среднего профессионального образования,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относительно численности принятых на обучение инвалидов и лиц с ограниченными возможностями здоровья</w:t>
            </w:r>
          </w:p>
        </w:tc>
      </w:tr>
      <w:tr w:rsidR="00DB5A50" w:rsidRPr="00DB5A50" w:rsidTr="00DB5A50">
        <w:tc>
          <w:tcPr>
            <w:tcW w:w="134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Содействие трудоустройству выпускников из числа инвалидов и лиц с ограниченными возможностями здоровья, получивших среднее профессиональное образование</w:t>
            </w: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11.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Организация и проведение конкурсов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Ханты-Мансийском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автономном округе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Югре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профессионального мастерства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среди обучающихся инвалидов и обучающихся с ограниченными возможностями здоровья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молодежной политики Ханты-Мансийского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до 31 декабря 2018 года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доля трудоустроенных и (или) продолживших профессиональное образование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выпускников инвалидов и выпускников с ограниченными возможностями здоровья от общей численности выпускников инвалидов и выпускников с ограниченными возможностями здоровья</w:t>
            </w: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12.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Организация межведомственного взаимодействия по трудоустройст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ву инвалидов, получивших среднее профессиональное образование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молодежной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политики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Департамент труда и занятости населения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до 31 декабря 2018 года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численность трудоустроенных выпускников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инвалидов и выпускников с ограниченными возможностями здоровья из числа завершивших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обучение по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образовательным программам среднего профессионального образования</w:t>
            </w: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13.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Мониторинг закрепления на рабочем месте инвалидов и лиц с ограниченными возможностями здоровья,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получивших среднее профессиональное образование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Департамент образования и молодежной политики Ханты-Мансийск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Департамент труда и занятости населения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до 31 декабря 2018 года</w:t>
            </w:r>
          </w:p>
        </w:tc>
        <w:tc>
          <w:tcPr>
            <w:tcW w:w="35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14.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Развитие механизмов государственно-частного партнерства при организации трудоустройства инвалидов и лиц с ограниченными возможностями здоровья, завершивших обучение по образовательн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ым программам среднего профессионального образования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образования и молодежной политики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Департамент труда и занятости населения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объединения работодателей</w:t>
            </w:r>
          </w:p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    (по согласованию)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до 31 декабря 2018 года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доля трудоустроенных и (или) продолживших профессиональное образование выпускников инвалидов и выпускников с ограничен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ными возможностями здоровья от общей численности выпускников инвалидов и выпускников с ограниченными возможностями здоровья</w:t>
            </w:r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15.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Организация стажировки выпускников профессиональных образовательных организаций и образовательных организаций высшего образования в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возрасте до 25 лет, временное трудоустройство безработных граждан в возрасте от 18 до 20 лет, имеющих среднее профессиональное образование и ищущих работу впервые, обратившихся в органы службы занятости населения в целях поиска подходящей работы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Департамент труда и занятости населения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 31 декабря 2018 года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Доля выпускников профессиональных образовательных организаций из числа инвалидов и лиц с ограничен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ными возможностями здоровья, трудоустроенных при содействии органов службы занятости населения в течение одного года после окончания обучения, в общей численности выпускников профессиональных образовательных организаций данной категории, обратившихся в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органы службы занятости населения в целях поиска подходящей работы в отчетном периоде</w:t>
            </w:r>
            <w:proofErr w:type="gramEnd"/>
          </w:p>
        </w:tc>
      </w:tr>
      <w:tr w:rsidR="00DB5A50" w:rsidRPr="00DB5A50" w:rsidTr="00DB5A50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16.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Организация специализированных ярмарок вакансий для инвалидов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Департамент труда и занятости населения Ханты-Мансийского автономного округа -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Югры</w:t>
            </w:r>
            <w:proofErr w:type="spellEnd"/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 31 декабря 2018 года</w:t>
            </w:r>
          </w:p>
        </w:tc>
        <w:tc>
          <w:tcPr>
            <w:tcW w:w="3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количество проведенных ярмарок вакансий, количество заявленных вакансий для инвалидов и численность трудоустроенных инвалидов молодого возраста</w:t>
            </w:r>
          </w:p>
        </w:tc>
      </w:tr>
    </w:tbl>
    <w:p w:rsidR="00DB5A50" w:rsidRPr="00DB5A50" w:rsidRDefault="00DB5A50" w:rsidP="00DB5A5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br/>
      </w:r>
    </w:p>
    <w:p w:rsidR="00DB5A50" w:rsidRPr="00DB5A50" w:rsidRDefault="00DB5A50" w:rsidP="00DB5A5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</w:pPr>
      <w:r w:rsidRPr="00DB5A50">
        <w:rPr>
          <w:rFonts w:ascii="Arial" w:eastAsia="Times New Roman" w:hAnsi="Arial" w:cs="Arial"/>
          <w:b/>
          <w:bCs/>
          <w:color w:val="444444"/>
          <w:sz w:val="40"/>
          <w:szCs w:val="40"/>
          <w:lang w:eastAsia="ru-RU"/>
        </w:rPr>
        <w:lastRenderedPageBreak/>
        <w:t>5. Показатели обеспечения доступности среднего профессионального образования инвалидов и лиц с ограниченными возможностями здоровья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5"/>
        <w:gridCol w:w="1848"/>
        <w:gridCol w:w="1118"/>
        <w:gridCol w:w="666"/>
        <w:gridCol w:w="666"/>
        <w:gridCol w:w="666"/>
        <w:gridCol w:w="666"/>
        <w:gridCol w:w="666"/>
        <w:gridCol w:w="666"/>
        <w:gridCol w:w="1848"/>
      </w:tblGrid>
      <w:tr w:rsidR="00DB5A50" w:rsidRPr="00DB5A50" w:rsidTr="00DB5A50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A50" w:rsidRPr="00DB5A50" w:rsidRDefault="00DB5A50" w:rsidP="00DB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40"/>
                <w:lang w:eastAsia="ru-RU"/>
              </w:rPr>
            </w:pP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N </w:t>
            </w:r>
            <w:proofErr w:type="spellStart"/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</w:t>
            </w:r>
            <w:proofErr w:type="spellEnd"/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</w:t>
            </w:r>
            <w:proofErr w:type="spellEnd"/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Наименование показателя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Ед. </w:t>
            </w:r>
            <w:proofErr w:type="spell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изм</w:t>
            </w:r>
            <w:proofErr w:type="spell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2013 год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2014 год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2015 год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2016 год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2017 год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2018 год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Результаты</w:t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Удельный вес профессиональных образовательных организаций, в которых обучаются инвалиды и лица с ограниченными возможностями здоровья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по образовательным программам среднего профессионального образования, в общей численности профессиональных образовательных организаций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процентов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расширение возможностей для инвалидов и лиц с ограниченными возможностями здоровья в получении среднего профессионального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образования по месту жительства</w:t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Численность абитуриентов из числа инвалидов и лиц с ограниченными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возможностями здоровья, принятых на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обучение по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образовательным программам среднего профессионального образования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человек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47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68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103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увеличение количества инвалидов и лиц с ограниченными возможн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остями здоровья, вовлеченных в систему среднего профессионального образования</w:t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3.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Удельный вес инвалидов и лиц с ограниченными возможностями здоровья, обучающихся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по адаптированным образовательным программам среднего профессионального образования в профессиональных образовательных организациях, от общего числа обучающихся по образовательным программам среднего професс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ионального образования инвалидов и лиц с ограниченными возможностями здоровья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процентов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9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обеспечение специальных условий получения образования инвалидами и лицами с ограниче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нными возможностями здоровья</w:t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4.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Численность инвалидов и лиц с ограниченными возможностями здоровья, завершивших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обучение по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образовательным программам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среднего профессионального образования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человек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18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39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46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48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создание условий в профессиональных образовательных организациях для сохранения контингента из числа инвалидов и лиц с ограниче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нными возможностями здоровья</w:t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5.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Численность трудоустроенных выпускников-инвалидов и выпускников с ограниченными возможностями здоровья из числа завершивших </w:t>
            </w:r>
            <w:proofErr w:type="gramStart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обучение по</w:t>
            </w:r>
            <w:proofErr w:type="gramEnd"/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образовательным программам среднего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профессионального образования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процентов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23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16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27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32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социальная адаптация и профессиональная реабилитация инвалидов и лиц с ограниченными возможностями здоровья в системе среднего профессионального образования</w:t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6.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Доля трудоустроенных и (или) продолживших профессиональное образование выпускников-инвалидов и выпускников с ограниченными возможностями здоровья от общей численности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выпускников инвалидов и выпускников с ограниченными возможностями здоровья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человек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58,9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59,3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62,8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80,4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81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социальная адаптация и профессиональная реабилитация инвалидов и лиц с ограниченными возможностями здоровья в системе среднего профессионального образования</w:t>
            </w:r>
          </w:p>
        </w:tc>
      </w:tr>
      <w:tr w:rsidR="00DB5A50" w:rsidRPr="00DB5A50" w:rsidTr="00DB5A5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7.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Доля профессиональных образовательных организаций, в которых обеспечены условия для получения среднего профессионального образова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ния инвалидами и лицами с ограниченными возможностями здоровья, в общем количестве таких организаций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процентов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5,3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10,5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21,1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26,3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31,6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A50" w:rsidRPr="00DB5A50" w:rsidRDefault="00DB5A50" w:rsidP="00DB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создание условий в профессиональных образовательных организациях для сохранения контингента из числа инвалидов и лиц с ограниченными </w:t>
            </w:r>
            <w:r w:rsidRPr="00DB5A5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возможностями здоровья</w:t>
            </w:r>
          </w:p>
        </w:tc>
      </w:tr>
    </w:tbl>
    <w:p w:rsidR="00237F5B" w:rsidRDefault="00237F5B"/>
    <w:sectPr w:rsidR="00237F5B" w:rsidSect="0023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B5A50"/>
    <w:rsid w:val="00237F5B"/>
    <w:rsid w:val="00DB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5B"/>
  </w:style>
  <w:style w:type="paragraph" w:styleId="3">
    <w:name w:val="heading 3"/>
    <w:basedOn w:val="a"/>
    <w:link w:val="30"/>
    <w:uiPriority w:val="9"/>
    <w:qFormat/>
    <w:rsid w:val="00DB5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B5A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5A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5A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DB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5A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5A50"/>
    <w:rPr>
      <w:color w:val="800080"/>
      <w:u w:val="single"/>
    </w:rPr>
  </w:style>
  <w:style w:type="paragraph" w:customStyle="1" w:styleId="headertext">
    <w:name w:val="headertext"/>
    <w:basedOn w:val="a"/>
    <w:rsid w:val="00DB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B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9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5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4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6449315" TargetMode="External"/><Relationship Id="rId13" Type="http://schemas.openxmlformats.org/officeDocument/2006/relationships/hyperlink" Target="https://docs.cntd.ru/document/429056472" TargetMode="External"/><Relationship Id="rId18" Type="http://schemas.openxmlformats.org/officeDocument/2006/relationships/hyperlink" Target="https://docs.cntd.ru/document/429056472" TargetMode="External"/><Relationship Id="rId26" Type="http://schemas.openxmlformats.org/officeDocument/2006/relationships/hyperlink" Target="https://docs.cntd.ru/document/429056472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29056472" TargetMode="External"/><Relationship Id="rId34" Type="http://schemas.openxmlformats.org/officeDocument/2006/relationships/hyperlink" Target="https://docs.cntd.ru/document/411702761" TargetMode="External"/><Relationship Id="rId7" Type="http://schemas.openxmlformats.org/officeDocument/2006/relationships/hyperlink" Target="https://docs.cntd.ru/document/550211416" TargetMode="External"/><Relationship Id="rId12" Type="http://schemas.openxmlformats.org/officeDocument/2006/relationships/hyperlink" Target="https://docs.cntd.ru/document/550211416" TargetMode="External"/><Relationship Id="rId17" Type="http://schemas.openxmlformats.org/officeDocument/2006/relationships/hyperlink" Target="https://docs.cntd.ru/document/429056472" TargetMode="External"/><Relationship Id="rId25" Type="http://schemas.openxmlformats.org/officeDocument/2006/relationships/hyperlink" Target="https://docs.cntd.ru/document/902389497" TargetMode="External"/><Relationship Id="rId33" Type="http://schemas.openxmlformats.org/officeDocument/2006/relationships/hyperlink" Target="https://docs.cntd.ru/document/429056472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345103" TargetMode="External"/><Relationship Id="rId20" Type="http://schemas.openxmlformats.org/officeDocument/2006/relationships/hyperlink" Target="https://docs.cntd.ru/document/429056472" TargetMode="External"/><Relationship Id="rId29" Type="http://schemas.openxmlformats.org/officeDocument/2006/relationships/hyperlink" Target="https://docs.cntd.ru/document/42905647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46449315" TargetMode="External"/><Relationship Id="rId11" Type="http://schemas.openxmlformats.org/officeDocument/2006/relationships/hyperlink" Target="https://docs.cntd.ru/document/550211416" TargetMode="External"/><Relationship Id="rId24" Type="http://schemas.openxmlformats.org/officeDocument/2006/relationships/hyperlink" Target="https://docs.cntd.ru/document/429056472" TargetMode="External"/><Relationship Id="rId32" Type="http://schemas.openxmlformats.org/officeDocument/2006/relationships/hyperlink" Target="https://docs.cntd.ru/document/429056472" TargetMode="External"/><Relationship Id="rId37" Type="http://schemas.openxmlformats.org/officeDocument/2006/relationships/hyperlink" Target="https://docs.cntd.ru/document/550211416" TargetMode="External"/><Relationship Id="rId5" Type="http://schemas.openxmlformats.org/officeDocument/2006/relationships/hyperlink" Target="https://docs.cntd.ru/document/902233884" TargetMode="External"/><Relationship Id="rId15" Type="http://schemas.openxmlformats.org/officeDocument/2006/relationships/hyperlink" Target="https://docs.cntd.ru/document/429088589" TargetMode="External"/><Relationship Id="rId23" Type="http://schemas.openxmlformats.org/officeDocument/2006/relationships/hyperlink" Target="https://docs.cntd.ru/document/429056472" TargetMode="External"/><Relationship Id="rId28" Type="http://schemas.openxmlformats.org/officeDocument/2006/relationships/hyperlink" Target="https://docs.cntd.ru/document/991022798" TargetMode="External"/><Relationship Id="rId36" Type="http://schemas.openxmlformats.org/officeDocument/2006/relationships/hyperlink" Target="https://docs.cntd.ru/document/429088589" TargetMode="External"/><Relationship Id="rId10" Type="http://schemas.openxmlformats.org/officeDocument/2006/relationships/hyperlink" Target="https://docs.cntd.ru/document/446449315" TargetMode="External"/><Relationship Id="rId19" Type="http://schemas.openxmlformats.org/officeDocument/2006/relationships/hyperlink" Target="https://docs.cntd.ru/document/429056472" TargetMode="External"/><Relationship Id="rId31" Type="http://schemas.openxmlformats.org/officeDocument/2006/relationships/hyperlink" Target="https://docs.cntd.ru/document/429056472" TargetMode="External"/><Relationship Id="rId4" Type="http://schemas.openxmlformats.org/officeDocument/2006/relationships/hyperlink" Target="https://docs.cntd.ru/document/411720357" TargetMode="External"/><Relationship Id="rId9" Type="http://schemas.openxmlformats.org/officeDocument/2006/relationships/hyperlink" Target="https://docs.cntd.ru/document/550211416" TargetMode="External"/><Relationship Id="rId14" Type="http://schemas.openxmlformats.org/officeDocument/2006/relationships/hyperlink" Target="https://docs.cntd.ru/document/468962903" TargetMode="External"/><Relationship Id="rId22" Type="http://schemas.openxmlformats.org/officeDocument/2006/relationships/hyperlink" Target="https://docs.cntd.ru/document/429056472" TargetMode="External"/><Relationship Id="rId27" Type="http://schemas.openxmlformats.org/officeDocument/2006/relationships/hyperlink" Target="https://docs.cntd.ru/document/429056472" TargetMode="External"/><Relationship Id="rId30" Type="http://schemas.openxmlformats.org/officeDocument/2006/relationships/hyperlink" Target="https://docs.cntd.ru/document/429056472" TargetMode="External"/><Relationship Id="rId35" Type="http://schemas.openxmlformats.org/officeDocument/2006/relationships/hyperlink" Target="https://docs.cntd.ru/document/446449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112</Pages>
  <Words>9106</Words>
  <Characters>51909</Characters>
  <Application>Microsoft Office Word</Application>
  <DocSecurity>0</DocSecurity>
  <Lines>432</Lines>
  <Paragraphs>121</Paragraphs>
  <ScaleCrop>false</ScaleCrop>
  <Company/>
  <LinksUpToDate>false</LinksUpToDate>
  <CharactersWithSpaces>60894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2021-04-08T03:19:00Z</dcterms:created>
  <dcterms:modified xsi:type="dcterms:W3CDTF">2021-04-08T03:20:00Z</dcterms:modified>
</cp:coreProperties>
</file>